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AVEn (Bayern) — Erfüllungserklärung, Energieausweis und Unternehmererklärung</w:t>
      </w:r>
    </w:p>
    <w:p>
      <w:r>
        <w:rPr>
          <w:color w:val="555555"/>
          <w:sz w:val="18"/>
        </w:rPr>
        <w:t xml:space="preserve">Verordnung zur Ausführung energiewirtschaftlicher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Einhaltung der Anforderungen des Gebäudeenergiegesetzes ist mittels Erfüllungserklärung vor Baubeginn nachzuweisen. Die Erfüllungserklärung ist der unteren Bauaufsichtsbehörde auf Verlangen vorzulegen. Art. 68 Abs. 7 Satz 3 BayBO, §§ 13 und 15 Abs. 1 und 2 der Bauvorlagenverordnung gelten entsprechend.</w:t>
      </w:r>
    </w:p>
    <w:p>
      <w:r>
        <w:t xml:space="preserve">(2) Eine Erfüllungserklärung darf ausstellen, wer</w:t>
      </w:r>
    </w:p>
    <w:p>
      <w:r>
        <w:t xml:space="preserve">1. Sachverständiger nach § 3 Abs. 1 Satz 1 Nr. 1 ist,</w:t>
      </w:r>
    </w:p>
    <w:p>
      <w:r>
        <w:t xml:space="preserve">2. Bauvorlageberechtigter nach Art. 61 Abs. 2, 3 oder Abs. 4 Nr. 2 bis 6 BayBO ist oder</w:t>
      </w:r>
    </w:p>
    <w:p>
      <w:r>
        <w:t xml:space="preserve">3. nach § 88 GEG zur Ausstellung eines Energieausweises berechtigt ist.</w:t>
      </w:r>
    </w:p>
    <w:p>
      <w:r>
        <w:t xml:space="preserve">(3) Die untere Bauaufsichtsbehörde kann in begründeten Einzelfällen verlangen, dass Vollständigkeit und Richtigkeit der Erfüllungserklärung, des Energieausweises oder der Unternehmererklärung von Sachverständigen im Sinn des § 3 Abs. 1 bescheinigt werden. Im Übrigen wird die Erfüllungserklärung nicht geprüft.</w:t>
      </w:r>
    </w:p>
    <w:p>
      <w:r>
        <w:rPr>
          <w:color w:val="555555"/>
          <w:sz w:val="17"/>
        </w:rPr>
        <w:t xml:space="preserve">Zitiervorschlag: § 5 AVEn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https://recht.nulegal.eu/gesetze/AVEn/5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