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AVEn (Bayern) — Zuständigkeit, Aufgaben und Befugnisse</w:t>
      </w:r>
    </w:p>
    <w:p>
      <w:r>
        <w:rPr>
          <w:color w:val="555555"/>
          <w:sz w:val="18"/>
        </w:rPr>
        <w:t xml:space="preserve">Verordnung zur Ausführung energiewirtschaftlicher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unteren Bauaufsichtsbehörden sind für die Durchführung des Gebäudeenergiegesetzes (GEG) zuständig, soweit in dieser Verordnung nichts anderes bestimmt ist. Für Vorhaben im Sinn des Art. 73 Abs. 1 Satz 1 der Bayerischen Bauordnung (BayBO) sind die Regierungen zuständig; Art. 73 BayBO ist mit Ausnahme von Abs. 2 Satz 2 Nr. 2 sowie Satz 3 und 4 anzuwenden.</w:t>
      </w:r>
    </w:p>
    <w:p>
      <w:r>
        <w:t xml:space="preserve">(2) Art. 54 Abs. 2 BayBO ist entsprechend anzuwenden.</w:t>
      </w:r>
    </w:p>
    <w:p>
      <w:r>
        <w:rPr>
          <w:color w:val="555555"/>
          <w:sz w:val="17"/>
        </w:rPr>
        <w:t xml:space="preserve">Zitiervorschlag: § 2 AVEn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https://recht.nulegal.eu/gesetze/AVEn/2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