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AVEn (Bayern) — Inkrafttreten, Außerkrafttreten</w:t>
      </w:r>
    </w:p>
    <w:p>
      <w:r>
        <w:rPr>
          <w:color w:val="555555"/>
          <w:sz w:val="18"/>
        </w:rPr>
        <w:t xml:space="preserve">Verordnung zur Ausführung energiewirtschaftlicher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Februar 2002 in Kraft.</w:t>
      </w:r>
    </w:p>
    <w:p>
      <w:r>
        <w:t xml:space="preserve">(2) § 6 tritt mit Ablauf des 31. Dezember 2029 außer Kraft.</w:t>
      </w:r>
    </w:p>
    <w:p>
      <w:r>
        <w:rPr>
          <w:color w:val="555555"/>
          <w:sz w:val="17"/>
        </w:rPr>
        <w:t xml:space="preserve">Zitiervorschlag: § 11 AVEn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https://recht.nulegal.eu/gesetze/AVEn/11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