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AVBayWolfV (Bayern) — Inkrafttreten</w:t>
      </w:r>
    </w:p>
    <w:p>
      <w:r>
        <w:rPr>
          <w:color w:val="555555"/>
          <w:sz w:val="18"/>
        </w:rPr>
        <w:t xml:space="preserve">Verordnung zur Ausführung der Bayerischen Wolfsverordnung BayVV Gliederungsnummer 791-1-15-U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am 7. November 2024 in Kraft.</w:t>
      </w:r>
    </w:p>
    <w:p>
      <w:r>
        <w:rPr>
          <w:color w:val="555555"/>
          <w:sz w:val="17"/>
        </w:rPr>
        <w:t xml:space="preserve">Zitiervorschlag: § 2 AVBayWolfV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https://recht.nulegal.eu/gesetze/AVBayWolfV/2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