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AVBayWolfV (Bayern) — Gebietsbestimmung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Abgrenzung der nicht schützbaren Weidegebiete nach § 2 Abs. 3 Satz 3 der Bayerischen Wolfsverordnung (BayWolfV) ergibt sich in roter Farbkennung aus Überblickskarten im Maßstab 1 : 25 000 (Anlagen 1 bis 15) sowie aus Detailkarten im Maßstab 1 : 5000 (Anlagen 31 bis 906), die jeweils Bestandteil dieser Verordnung sind. Gebietsgrenze ist jeweils die Innenkante der Abgrenzungslinie. Maßgebend für den Grenzverlauf sind die Detailkarten im Maßstab 1 : 5000.</w:t>
      </w:r>
    </w:p>
    <w:p>
      <w:r>
        <w:t xml:space="preserve">(2) Die Abgrenzung der nicht zumutbar zäunbaren naturräumlichen Untereinheiten nach § 2 Abs. 3 Satz 3 BayWolfV ergibt sich in beiger Farbkennung aus Überblickskarten im Maßstab 1 : 25 000 (Anlagen 16 bis 30) sowie aus Detailkarten im Maßstab 1 : 5 000 (Anlagen 907 bis 1782), die jeweils Bestandteil dieser Verordnung sind. Abs. 1 Satz 2 und 3 gilt entsprechend.</w:t>
      </w:r>
    </w:p>
    <w:p>
      <w:r>
        <w:t xml:space="preserve">(3) Die Detailkarten im Maßstab 1 : 5000 sind bei der obersten Naturschutzbehörde in Papierform oder in unveränderlicher digitaler Form archivmäßig gesichert und zu jedermanns Einsicht während der Dienstzeit niedergelegt.</w:t>
      </w:r>
    </w:p>
    <w:p>
      <w:r>
        <w:rPr>
          <w:color w:val="555555"/>
          <w:sz w:val="17"/>
        </w:rPr>
        <w:t xml:space="preserve">Zitiervorschlag: § 1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