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AVBayWeinAFöG (Bayern) — Inkrafttreten, Außerkrafttreten</w:t>
      </w:r>
    </w:p>
    <w:p>
      <w:r>
        <w:rPr>
          <w:color w:val="555555"/>
          <w:sz w:val="18"/>
        </w:rPr>
        <w:t xml:space="preserve">Verordnung zur Ausführung des Bayerischen Weinabsatzförderungsgesetzes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Diese Verordnung tritt mit Wirkung vom 1. Januar 2002 in Kraft. § 2 Satz 2 tritt mit Ablauf des 12. Februar 2022 außer Kraft.</w:t>
      </w:r>
    </w:p>
    <w:p>
      <w:r>
        <w:rPr>
          <w:color w:val="555555"/>
          <w:sz w:val="17"/>
        </w:rPr>
        <w:t xml:space="preserve">Zitiervorschlag: § 9 AVBayWeinAFöG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https://recht.nulegal.eu/gesetze/AVBayWeinAF%C3%B6G/9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