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AVBayWeinAFöG (Bayern) — Zuständigkeiten</w:t>
      </w:r>
    </w:p>
    <w:p>
      <w:r>
        <w:rPr>
          <w:color w:val="555555"/>
          <w:sz w:val="18"/>
        </w:rPr>
        <w:t xml:space="preserve">Verordnung zur Ausführung des Bayerischen Weinabsatzförderungsgesetzes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LWG ist zuständig für den Erlass der Zuwendungsbescheide, die Vereinnahmung und die Auszahlung der Mittel sowie die Verwendungsnachweisprüfung. Die Entscheidung im Sinn von Art. 3 Abs. 2 Satz 1 BayWeinAFöG bleibt dem Staatsministerium vorbehalten. Die LWG erstellt den Wirtschaftsplan nach Art. 4 Abs. 1 BayWeinAFöG und leitet ihn dem Staatsministerium zur Genehmigung zu.</w:t>
      </w:r>
    </w:p>
    <w:p>
      <w:r>
        <w:rPr>
          <w:color w:val="555555"/>
          <w:sz w:val="17"/>
        </w:rPr>
        <w:t xml:space="preserve">Zitiervorschlag: § 8 AVBayWeinAFöG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https://recht.nulegal.eu/gesetze/AVBayWeinAF%C3%B6G/8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