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AVBayWeinAFöG (Bayern) — Auslagen</w:t>
      </w:r>
    </w:p>
    <w:p>
      <w:r>
        <w:rPr>
          <w:color w:val="555555"/>
          <w:sz w:val="18"/>
        </w:rPr>
        <w:t xml:space="preserve">Verordnung zur Ausführung des Bayerischen Weinabsatzförderungsgesetzes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Mitglieder des Werbebeirats erhalten Fahrtkostenersatz sowie Tage- und Übernachtungsgeld in Höhe der Sätze, die den Staatsbediensteten nach dem Bayerischen Reisekostengesetz zustehen.</w:t>
      </w:r>
    </w:p>
    <w:p>
      <w:r>
        <w:rPr>
          <w:color w:val="555555"/>
          <w:sz w:val="17"/>
        </w:rPr>
        <w:t xml:space="preserve">Zitiervorschlag: § 6 AVBayWeinAFöG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https://recht.nulegal.eu/gesetze/AVBayWeinAF%C3%B6G/6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