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AVBayWeinAFöG (Bayern) — Erhebungsverfahren</w:t>
      </w:r>
    </w:p>
    <w:p>
      <w:r>
        <w:rPr>
          <w:color w:val="555555"/>
          <w:sz w:val="18"/>
        </w:rPr>
        <w:t xml:space="preserve">Verordnung zur Ausführung des Bayerischen Weinabsatzförderungsgesetzes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Bei der Erhebung der Abgabe nach dem Bayerischen Weinabsatzförderungsgesetz (BayWeinAFöG) ist § 30 der Verordnung zur Ausführung weinrechtlicher Vorschriften entsprechend anzuwenden.</w:t>
      </w:r>
    </w:p>
    <w:p>
      <w:r>
        <w:rPr>
          <w:color w:val="555555"/>
          <w:sz w:val="17"/>
        </w:rPr>
        <w:t xml:space="preserve">Zitiervorschlag: § 1 AVBayWeinAFöG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https://recht.nulegal.eu/gesetze/AVBayWeinAF%C3%B6G/1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