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AVBayStG (Bayern)</w:t>
      </w:r>
    </w:p>
    <w:p>
      <w:r>
        <w:rPr>
          <w:color w:val="555555"/>
          <w:sz w:val="18"/>
        </w:rPr>
        <w:t xml:space="preserve">Verordnung zur Ausführung des Bayerischen Stiftungsgesetzes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44 des Bayerischen Stiftungsgesetzes (BayStG) in der Fassung der Bekanntmachung vom 7. März 1996 (GVBl S. 126, BayRS 282-1-1-UK/WFK) erlassen die Bayerischen Staatsministerien des Innern, für Wissenschaft, Forschung und Kunst und für Unterricht und Kultus folgende Verordnung:</w:t>
      </w:r>
    </w:p>
    <w:p>
      <w:r>
        <w:rPr>
          <w:color w:val="555555"/>
          <w:sz w:val="17"/>
        </w:rPr>
        <w:t xml:space="preserve">Zitiervorschlag: Eingangsformel AVBayStG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https://recht.nulegal.eu/gesetze/AVBayStG/eingangsformel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