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AVBaySchFG (Bayern)</w:t>
      </w:r>
    </w:p>
    <w:p>
      <w:r>
        <w:rPr>
          <w:color w:val="555555"/>
          <w:sz w:val="18"/>
        </w:rPr>
        <w:t xml:space="preserve">Ausführungsverordnung Schulfinanzierungsgesetz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München, den 23. Januar 1997</w:t>
      </w:r>
    </w:p>
    <w:p>
      <w:r>
        <w:t xml:space="preserve">Bayerisches Staatsministerium</w:t>
      </w:r>
    </w:p>
    <w:p>
      <w:r>
        <w:t xml:space="preserve">für Unterricht, Kultus, Wissenschaft und Kunst</w:t>
      </w:r>
    </w:p>
    <w:p>
      <w:r>
        <w:t xml:space="preserve">Hans Zehetmair, Staatsminister</w:t>
      </w:r>
    </w:p>
    <w:p>
      <w:r>
        <w:rPr>
          <w:color w:val="555555"/>
          <w:sz w:val="17"/>
        </w:rPr>
        <w:t xml:space="preserve">Zitiervorschlag: Schlussformel AVBaySchFG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https://recht.nulegal.eu/gesetze/AVBaySchFG/schlussformel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