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AVBaySchFG (Bayern)</w:t>
      </w:r>
    </w:p>
    <w:p>
      <w:r>
        <w:rPr>
          <w:color w:val="555555"/>
          <w:sz w:val="18"/>
        </w:rPr>
        <w:t xml:space="preserve">Ausführungsverordnung Schulfinanzierungsgesetz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Auf Grund von Art. 27 und 60 Satz 2 Nrn. 1, 2, 3, 6, 8, 9 und 10 des Bayerischen Schulfinanzierungsgesetzes (BaySchFG) erläßt das Bayerische Staatsministerium für Unterricht, Kultus, Wissenschaft und Kunst im Einvernehmen mit den Bayerischen Staatsministerien der Finanzen und des Innern folgende Verordnung:</w:t>
      </w:r>
    </w:p>
    <w:p>
      <w:r>
        <w:rPr>
          <w:color w:val="555555"/>
          <w:sz w:val="17"/>
        </w:rPr>
        <w:t xml:space="preserve">Zitiervorschlag: Eingangsformel AVBaySchFG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https://recht.nulegal.eu/gesetze/AVBaySchFG/eingangsformel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