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AVBaySchFG (Bayern) — Gastschulbeiträge, Kostenersatz (zu Art. 10, 19, 60 Satz 2 Nr. 1 und 2 BaySchFG)</w:t>
      </w:r>
    </w:p>
    <w:p>
      <w:r>
        <w:rPr>
          <w:color w:val="555555"/>
          <w:sz w:val="18"/>
        </w:rPr>
        <w:t xml:space="preserve">Ausführungsverordnung Schulfinanzierungsgesetz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Gebiet des Aufwandsträgers im Sinn des Art. 10 Abs. 1 Satz 2 Nr. 3 BaySchFG ist bei Gemeinden, Landkreisen und Bezirken das jeweilige Gemeinde-, Kreis- oder Bezirksgebiet, bei Zweckverbänden der in der jeweiligen Zweckverbandssatzung festgelegte räumliche Wirkungsbereich. Die Zahl der Gastschülerinnen und Gastschüler (Art. 10 Abs. 1 Satz 2 Nr. 3 BaySchFG) wird innerhalb einer Schulsitzgemeinde getrennt nach Schularten festgestellt. Die Berechnung der Gastschulbeiträge und des Kostenersatzes (Art. 10 Abs. 2 und 4, Art. 19 Abs. 1 BaySchFG) richtet sich nach Anlage 1.</w:t>
      </w:r>
    </w:p>
    <w:p>
      <w:r>
        <w:rPr>
          <w:color w:val="555555"/>
          <w:sz w:val="17"/>
        </w:rPr>
        <w:t xml:space="preserve">Zitiervorschlag: § 7 AVBaySchFG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https://recht.nulegal.eu/gesetze/AVBaySchFG/7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