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AVBaySchFG (Bayern) — Träger des Schulaufwands (zu Art. 8 BaySchFG)</w:t>
      </w:r>
    </w:p>
    <w:p>
      <w:r>
        <w:rPr>
          <w:color w:val="555555"/>
          <w:sz w:val="18"/>
        </w:rPr>
        <w:t xml:space="preserve">Ausführungsverordnung Schulfinanzierungsgesetz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Als Schulsprengel im Sinn des Art. 8 Abs. 1 Satz 2 Nr. 2 BaySchFG gelten nur die Grundsprengel im Sinn des Art. 34 Abs. 2 BayEUG.</w:t>
      </w:r>
    </w:p>
    <w:p>
      <w:r>
        <w:t xml:space="preserve">(2) Die Berechnung des Kostenersatzes nach Art. 8 Abs. 4 BaySchFG richtet sich nach Anlage 1 .</w:t>
      </w:r>
    </w:p>
    <w:p>
      <w:r>
        <w:rPr>
          <w:color w:val="555555"/>
          <w:sz w:val="17"/>
        </w:rPr>
        <w:t xml:space="preserve">Zitiervorschlag: § 6 AVBaySchFG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https://recht.nulegal.eu/gesetze/AVBaySchFG/6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