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AVBaySchFG (Bayern) — Zuschüsse an staatlich genehmigten Ersatzschulen (zu Art. 45 Abs. 2 BaySchFG)</w:t>
      </w:r>
    </w:p>
    <w:p>
      <w:r>
        <w:rPr>
          <w:color w:val="555555"/>
          <w:sz w:val="18"/>
        </w:rPr>
        <w:t xml:space="preserve">Ausführungsverordnung Schulfinanzierungsgesetz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die Berechnung der Zuschüsse an die Träger beruflicher Schulen gilt § 12 entsprechend.</w:t>
      </w:r>
    </w:p>
    <w:p>
      <w:r>
        <w:rPr>
          <w:color w:val="555555"/>
          <w:sz w:val="17"/>
        </w:rPr>
        <w:t xml:space="preserve">Zitiervorschlag: § 21 AVBaySchFG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https://recht.nulegal.eu/gesetze/AVBaySchFG/21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