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AVBaySchFG (Bayern) — Finanzhilfen zu Baumaßnahmen (zu 43, 45 Abs. 3 BaySchFG)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Bemessung der Zuschüsse für berufliche Schulen kann die erstmalige Einrichtung in entsprechender Anwendung des Art. 5 Abs. 1 BaySchFG und des § 5 Abs. 2 berücksichtigt werden.</w:t>
      </w:r>
    </w:p>
    <w:p>
      <w:r>
        <w:t xml:space="preserve">(2) Finanzhilfen für staatlich genehmigte Ersatzschulen sollen nur gewährt werden, wenn die Schule die Förderungsvoraussetzungen nach Art. 45 Abs. 1 oder 2 BaySchFG erfüllt.</w:t>
      </w:r>
    </w:p>
    <w:p>
      <w:r>
        <w:rPr>
          <w:color w:val="555555"/>
          <w:sz w:val="17"/>
        </w:rPr>
        <w:t xml:space="preserve">Zitiervorschlag: § 19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