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AVBaySchFG (Bayern) — Zuschüsse für staatlich anerkannte berufliche Schulen (zu Art. 41 BaySchFG)</w:t>
      </w:r>
    </w:p>
    <w:p>
      <w:r>
        <w:rPr>
          <w:color w:val="555555"/>
          <w:sz w:val="18"/>
        </w:rPr>
        <w:t xml:space="preserve">Ausführungsverordnung Schulfinanzierungsgesetz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Gewährung der Zuschüsse gilt § 12 entsprechend.</w:t>
      </w:r>
    </w:p>
    <w:p>
      <w:r>
        <w:rPr>
          <w:color w:val="555555"/>
          <w:sz w:val="17"/>
        </w:rPr>
        <w:t xml:space="preserve">Zitiervorschlag: § 18 AVBaySchFG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https://recht.nulegal.eu/gesetze/AVBaySchFG/18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