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AVBaySchFG (Bayern) — Stichtag, Befreiung von der Pflicht zur Beschaffung übriger Lernmittel (zu Art. 21 BaySchFG)</w:t>
      </w:r>
    </w:p>
    <w:p>
      <w:r>
        <w:rPr>
          <w:color w:val="555555"/>
          <w:sz w:val="18"/>
        </w:rPr>
        <w:t xml:space="preserve">Ausführungsverordnung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Maßgeblicher Stichtag für die Amtlichen Schuldaten gemäß Art. 21 Abs. 3 Satz 3 BaySchFG ist der 1. Oktober, bei beruflichen Schulen und beruflichen Schulen zur sonderpädagogischen Förderung der 20. Oktober.</w:t>
      </w:r>
    </w:p>
    <w:p>
      <w:r>
        <w:t xml:space="preserve">(2) Die Befreiung von der Pflicht, die Atlanten für den Geographieunterricht und Formelsammlungen für den Mathematik- und Physikunterricht zu beschaffen, bei Bezug von Kindergeld oder vergleichbaren Leistungen für drei oder mehr Kinder ab dem dritten Kind beginnt mit dem jüngsten der drei Kinder.</w:t>
      </w:r>
    </w:p>
    <w:p>
      <w:r>
        <w:rPr>
          <w:color w:val="555555"/>
          <w:sz w:val="17"/>
        </w:rPr>
        <w:t xml:space="preserve">Zitiervorschlag: § 13a AVBaySchFG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https://recht.nulegal.eu/gesetze/AVBaySchFG/13a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