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AVBayRDG (Bayern) — Verfahren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Vorsitzende oder der Vorsitzende bestimmt Zeit und Ort der Sitzung und veranlasst die Ladung der Mitglieder, der Beteiligten und Dritter, deren Beiziehung sie oder er für sachgerecht erachtet.</w:t>
      </w:r>
    </w:p>
    <w:p>
      <w:r>
        <w:t xml:space="preserve">(2) Die Schiedsstelle entscheidet auf Grund mündlicher, nicht-öffentlicher Verhandlung, zu der die Beteiligten zu laden sind, soweit die Entscheidung nicht gemäß Art. 34 Abs. 6 Satz 3 BayRDG oder Art. 20 Abs. 2 Satz 4 BayRDG in Verbindung mit Art. 48 Abs. 2 Satz 2 BayRDG nach Aktenlage erfolgt oder alle Beteiligten durch Erklärung gegenüber der Schiedsstelle auf mündliche Verhandlung verzichten. Die Ladungsfrist beträgt mindestens eine Woche. Es kann auch in Abwesenheit der Beteiligten verhandelt werden, falls in der Ladung darauf hingewiesen wird.</w:t>
      </w:r>
    </w:p>
    <w:p>
      <w:r>
        <w:t xml:space="preserve">(3) In Fällen, in denen unverzüglich zu entscheiden ist, kann die Entscheidung auf einer summarischen Prüfung beruhen. Haben sich die Sozialversicherungsträger bis zur Anrufung der Strukturschiedsstelle nicht zu der kurzzeitigen Erhöhung der rettungsdienstlichen Vorhaltung geäußert, sind diese vor der Entscheidung anzuhören.</w:t>
      </w:r>
    </w:p>
    <w:p>
      <w:r>
        <w:t xml:space="preserve">(4) Die Schiedsstelle bedient sich aller Beweismittel, die sie für erforderlich hält. Sie bezieht die Ergebnisse vorangegangener Verhandlungen der Beteiligten ein und lässt sich von ihnen die Bereiche benennen, über die eine Einigung nicht zustande gekommen ist.</w:t>
      </w:r>
    </w:p>
    <w:p>
      <w:r>
        <w:t xml:space="preserve">(5) § 87b der Verwaltungsgerichtsordnung gilt entsprechend.</w:t>
      </w:r>
    </w:p>
    <w:p>
      <w:r>
        <w:rPr>
          <w:color w:val="555555"/>
          <w:sz w:val="17"/>
        </w:rPr>
        <w:t xml:space="preserve">Zitiervorschlag: § 36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