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AVBayRDG (Bayern) — Allgemein</w:t>
      </w:r>
    </w:p>
    <w:p>
      <w:r>
        <w:rPr>
          <w:color w:val="555555"/>
          <w:sz w:val="18"/>
        </w:rPr>
        <w:t xml:space="preserve">Verordnung zur Ausführung des Bayerischen Rettungsdienstgesetzes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Schiedsstellen geben sich eine Geschäftsordnung, die der Zustimmung der obersten Rettungsdienstbehörde bedarf.</w:t>
      </w:r>
    </w:p>
    <w:p>
      <w:r>
        <w:t xml:space="preserve">(2) Die Amtsperiode der Schiedsstellen beträgt jeweils vier Kalenderjahre.</w:t>
      </w:r>
    </w:p>
    <w:p>
      <w:r>
        <w:t xml:space="preserve">(3) Die Zentrale Abrechnungsstelle führt die Geschäfte der Schiedsstellen (Geschäftsstelle).</w:t>
      </w:r>
    </w:p>
    <w:p>
      <w:r>
        <w:rPr>
          <w:color w:val="555555"/>
          <w:sz w:val="17"/>
        </w:rPr>
        <w:t xml:space="preserve">Zitiervorschlag: § 34 AVBayRDG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https://recht.nulegal.eu/gesetze/AVBayRDG/34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