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AVBayRDG (Bayern) — Nachweis fachlicher Eignung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Angemessen im Sinn von Art. 24 Abs. 1 Nr. 3 Satz 4 BayRDG ist eine mindestens dreijährige, leitende Tätigkeit in einem Unternehmen im Sinn von Art. 2 Abs. 16 Satz 1 BayRDG. Die Tätigkeit muss die zur Führung eines entsprechenden Unternehmens erforderlichen Kenntnisse auf den in § 22 genannten Stoffgebieten vermittelt haben und darf nicht mehr als drei Jahre seit Antragstellung bei der Genehmigungsbehörde nach Abs. 2 zurückliegen.</w:t>
      </w:r>
    </w:p>
    <w:p>
      <w:r>
        <w:t xml:space="preserve">(2) Soweit der Antragsteller eine Genehmigung zur Durchführung von Notfallrettung und arztbegleitetem Patiententransport beantragt hat, muss er oder eine für die Führung der Geschäfte bestellte Person im Besitz einer Erlaubnis zum Führen der Berufsbezeichnung „Notfallsanitäterin“ oder „Notfallsanitäter“ sein. Soweit er eine Genehmigung zur Durchführung von Krankentransporten oder Patientenrückholung beantragt hat, muss er oder eine für die Führung der Geschäfte bestellte Person über die Qualifikation nach der Bayerischen Rettungssanitäterverordnung verfügen. Der Genehmigungsbehörde sind die entsprechenden Urkunden oder Zeugnisse vorzulegen.</w:t>
      </w:r>
    </w:p>
    <w:p>
      <w:r>
        <w:t xml:space="preserve">(3) Die angemessene Tätigkeit im Sinn von Art. 24 Abs. 1 Nr. 3 Satz 4 BayRDG ist der Genehmigungsbehörde durch schriftliche Zeugnisse der Unternehmen, in denen sie geleistet wurde, nachzuweisen; war der Antragsteller oder eine für die Führung der Geschäfte bestellte Person selbst Unternehmer, ist der Nachweis in anderer geeigneter Form zu erbringen. Zur Vorlage bei der Genehmigungsbehörde prüft die zuständige Industrie- und Handelskammer für München und Oberbayern die fachliche Eignung anhand des Nachweises und stellt hierüber auf Antrag eine Bescheinigung aus. Reichen die Unterlagen zum Nachweis einer angemessenen Tätigkeit nicht aus, kann die Industrie- und Handelskammer für München und Oberbayern ein ergänzendes Beurteilungsgespräch führen.</w:t>
      </w:r>
    </w:p>
    <w:p>
      <w:r>
        <w:rPr>
          <w:color w:val="555555"/>
          <w:sz w:val="17"/>
        </w:rPr>
        <w:t xml:space="preserve">Zitiervorschlag: § 22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