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AVBayNatSchG (Bayern) — Zuständigkeiten</w:t>
      </w:r>
    </w:p>
    <w:p>
      <w:r>
        <w:rPr>
          <w:color w:val="555555"/>
          <w:sz w:val="18"/>
        </w:rPr>
        <w:t xml:space="preserve">Verordnung zur Ausführung des Bayerischen Naturschutzgesetzes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Staatsministerium für Umwelt und Verbraucherschutz als oberste Naturschutzbehörde ist zuständige Behörde im Sinne von § 40e Abs. 1 und § 48a Satz 2 des Bundesnaturschutzgesetzes (BNatSchG).</w:t>
      </w:r>
    </w:p>
    <w:p>
      <w:r>
        <w:t xml:space="preserve">(2) Die Regierung als höhere Naturschutzbehörde ist zuständige Behörde</w:t>
      </w:r>
    </w:p>
    <w:p>
      <w:r>
        <w:t xml:space="preserve">1. für die Erteilung der Ausnahmegenehmigung nach § 45 Abs. 7 Satz 1 BNatSchG und der Befreiung von den Verboten des § 44 BNatSchG nach § 67 Abs. 2 Satz 1 BNatSchG, soweit nicht Wölfe (Canis lupus), Biber (Castor fiber) oder Hornissen (Vespa crabro) betroffen sind,</w:t>
      </w:r>
    </w:p>
    <w:p>
      <w:r>
        <w:t xml:space="preserve">2. für die Erteilung der Ausnahme nach § 4 Abs. 3 der Bundesartenschutzverordnung (BArtSchV), soweit nicht Wölfe (Canis lupus), Biber (Castor fiber) oder Hornissen (Vespa crabro) betroffen sind,</w:t>
      </w:r>
    </w:p>
    <w:p>
      <w:r>
        <w:t xml:space="preserve">3. im Sinne von § 2 Abs. 2, § 6 Abs. 1 Satz 4, § 7 Abs. 3 Satz 2 BArtSchV.</w:t>
      </w:r>
    </w:p>
    <w:p>
      <w:r>
        <w:t xml:space="preserve">(3) Das Landesamt für Umwelt ist zuständige Behörde</w:t>
      </w:r>
    </w:p>
    <w:p>
      <w:r>
        <w:t xml:space="preserve">1. für die Entnahme von Wolfshybriden gemäß § 45a Abs. 3 BNatSchG,</w:t>
      </w:r>
    </w:p>
    <w:p>
      <w:r>
        <w:t xml:space="preserve">2. im Sinne von § 48 Abs. 1 Nr. 4 BNatSchG in Verbindung mit Art. 7 Nr. 4 der Verordnung (EG) Nr. 338/97 in Verbindung mit Art. 52 der Verordnung (EG) Nr. 865/2006,</w:t>
      </w:r>
    </w:p>
    <w:p>
      <w:r>
        <w:t xml:space="preserve">3. im Sinne von § 48a Satz 1 Nr. 5 BNatSchG in Verbindung mit Art. 8 Abs. 7 der Verordnung (EU) Nr. 1143/2014.</w:t>
      </w:r>
    </w:p>
    <w:p>
      <w:r>
        <w:t xml:space="preserve">(4) Die Landesanstalt für Landwirtschaft</w:t>
      </w:r>
    </w:p>
    <w:p>
      <w:r>
        <w:t xml:space="preserve">1. erteilt Pflanzengesundheitszeugnisse nach § 48 Abs. 1 Nr. 4 BNatSchG in Verbindung mit Art. 7 Nr. 1 Buchst. b Buchst. i der Verordnung (EG) Nr. 338/97 und Art. 17 der Verordnung (EG) Nr. 865/2006,</w:t>
      </w:r>
    </w:p>
    <w:p>
      <w:r>
        <w:t xml:space="preserve">2. ist zuständige Behörde im Sinne des § 51a Abs. 1 Satz 1 Nr. 1 in Verbindung mit Abs. 3 und 4 BNatSchG.</w:t>
      </w:r>
    </w:p>
    <w:p>
      <w:r>
        <w:t xml:space="preserve">(5) Die Kontrollbehörde für Lebensmittelsicherheit und Veterinärwesen ist zuständige Behörde im Sinne des § 51a Abs. 1 Satz 1 Nr. 2 in Verbindung mit Abs. 3 und 4 BNatSchG.</w:t>
      </w:r>
    </w:p>
    <w:p>
      <w:r>
        <w:t xml:space="preserve">(6) Im Übrigen ist die Kreisverwaltungsbehörde als untere Naturschutzbehörde für den Vollzug des Kapitels 5 des Bundesnaturschutzgesetzes und der auf Grund dieses Gesetzes erlassenen Rechtsvorschriften zuständig. Bei der Erteilung einer Beförderungsgenehmigung nach Art. 9 der Verordnung (EG) Nr. 338/97 ist vor der Entscheidung das Veterinäramt zu hören.</w:t>
      </w:r>
    </w:p>
    <w:p>
      <w:r>
        <w:rPr>
          <w:color w:val="555555"/>
          <w:sz w:val="17"/>
        </w:rPr>
        <w:t xml:space="preserve">Zitiervorschlag: § 8 AVBayNatSchG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https://recht.nulegal.eu/gesetze/AVBayNatSchG/8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