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AVBayKiBiG (Bayern) — Ethische und religiöse Bildung und Erziehung; Emotionalität und soziale Beziehungen</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Kinder sollen zentrale Elemente der christlich-abendländischen Kultur erfahren und lernen, sinn- und werteorientiert und in Achtung vor religiöser Überzeugung zu leben sowie eine eigene von Nächstenliebe getragene religiöse oder weltanschauliche Identität zu entwickeln.</w:t>
      </w:r>
    </w:p>
    <w:p>
      <w:r>
        <w:t xml:space="preserve">(2) Das pädagogische Personal soll die Kinder darin unterstützen, mit ihren eigenen Gefühlen umzugehen, in christlicher Nächstenliebe offen und unbefangen Menschen in ihrer Unterschiedlichkeit anzunehmen, sich in die Kinder einzufühlen, Mitverantwortung für die Gemeinschaft zu übernehmen und untereinander nach angemessenen Lösungen bei Streitigkeiten zu suchen.</w:t>
      </w:r>
    </w:p>
    <w:p>
      <w:r>
        <w:rPr>
          <w:color w:val="555555"/>
          <w:sz w:val="17"/>
        </w:rPr>
        <w:t xml:space="preserve">Zitiervorschlag: § 4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