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AVBayKiBiG (Bayern) — Entschädigungsregelung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Landeselternbeirats sind ehrenamtlich tätig. Sie erhalten für ihre Teilnahme an Sitzungen auf Antrag</w:t>
      </w:r>
    </w:p>
    <w:p>
      <w:r>
        <w:t xml:space="preserve">1. Fahrkostenerstattung,</w:t>
      </w:r>
    </w:p>
    <w:p>
      <w:r>
        <w:t xml:space="preserve">2. Wegstrecken- und Mitnahmeentschädigung</w:t>
      </w:r>
    </w:p>
    <w:p>
      <w:r>
        <w:t xml:space="preserve">nach den für bayerische Staatsbeamte der Besoldungsgruppe A 7 geltenden Vorschriften des Bayerischen Reisekostengesetzes (BayRKG). Die Höhe der Wegstreckenentschädigung wird auf die in Art. 6 Abs. 6 Satz 1 BayRKG genannten Beträge beschränkt.</w:t>
      </w:r>
    </w:p>
    <w:p>
      <w:r>
        <w:rPr>
          <w:color w:val="555555"/>
          <w:sz w:val="17"/>
        </w:rPr>
        <w:t xml:space="preserve">Zitiervorschlag: § 30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