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AVBayKiBiG (Bayern) — Netze für Kinder; Kindertageseinrichtungen im ländlichen Raum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Ansprüche nach der Übergangsvorschrift für ein Netz für Kinder des § 3 Abs. 3 Nr. 1 des Gesetzes vom 8. Juli 2005 (GVBl S. 236) erlöschen, wenn von den Definitionsmerkmalen eines Netzes für Kinder abgewichen wird.</w:t>
      </w:r>
    </w:p>
    <w:p>
      <w:r>
        <w:t xml:space="preserve">(2) Ein Gemeindeteil gleicht auf Grund seiner Infrastruktur einer selbstständigen Gemeinde im Sinn des Art. 24 Satz 2 BayKiBiG, wenn er vor den Eingemeindungsmaßnahmen im Zuge der oder im Hinblick auf die kommunale Gebietsreform von 1972 eine selbstständige Gemeinde war.</w:t>
      </w:r>
    </w:p>
    <w:p>
      <w:r>
        <w:t xml:space="preserve">(3) Für die Berechnung des Anstellungsschlüssels ist bei Kindertageseinrichtungen im ländlichen Raum im Sinn des Art. 24 BayKiBiG auf die Zahl, Gewichtungsfaktoren und Buchungszeiten der tatsächlich betreuten Kinder abzustellen.</w:t>
      </w:r>
    </w:p>
    <w:p>
      <w:r>
        <w:rPr>
          <w:color w:val="555555"/>
          <w:sz w:val="17"/>
        </w:rPr>
        <w:t xml:space="preserve">Zitiervorschlag: § 26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