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AVBayKiBiG (Bayern) — Basiswert und Qualitätsbonus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Berechnung des Basiswerts nach Art. 21 Abs. 3 Satz 2 BayKiBiG werden die Entwicklungen der Tarife nach dem Tarifvertrag für den öffentlichen Dienst (TVöD) – Allgemeiner Teil – und dem Besonderen Teil Pflege- und Betreuungseinrichtungen (BT-B) sowie die Entgeltnebenkosten berücksichtigt.</w:t>
      </w:r>
    </w:p>
    <w:p>
      <w:r>
        <w:t xml:space="preserve">(2) Kindertageseinrichtungen haben einen Anspruch auf ein Zwölftel des als Qualitätsbonus nach Art. 23 Abs. 1 Satz 3 BayKiBiG festgesetzten Betrags für jeden Monat, in dem die Fördervoraussetzungen nach § 17 vorliegen. Der Qualitätsbonus findet keine Anwendung bei der Berechnung der staatlichen kindbezogenen Förderung in Fällen der Erhöhung der Buchungszeitfaktoren nach § 24 Abs. 1 Satz 2 und 3.</w:t>
      </w:r>
    </w:p>
    <w:p>
      <w:r>
        <w:t xml:space="preserve">(3) Die Beantragung des Qualitätsbonus erfolgt im Rahmen der kindbezogenen Förderung nach § 19.</w:t>
      </w:r>
    </w:p>
    <w:p>
      <w:r>
        <w:rPr>
          <w:color w:val="555555"/>
          <w:sz w:val="17"/>
        </w:rPr>
        <w:t xml:space="preserve">Zitiervorschlag: § 20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