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AVBayKiBiG (Bayern) — Basiskompetenzen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Bildung der gesamten Persönlichkeit der Kinder unterstützt und stärkt das pädagogische Personal auf der Grundlage eines christlichen Menschenbildes</w:t>
      </w:r>
    </w:p>
    <w:p>
      <w:r>
        <w:t xml:space="preserve">1. die Entwicklung von freiheitlich-demokratischen, religiösen, sittlichen und sozialen Werthaltungen,</w:t>
      </w:r>
    </w:p>
    <w:p>
      <w:r>
        <w:t xml:space="preserve">2. die Entwicklung von personalen, motivationalen, kognitiven, physischen und sozialen Kompetenzen,</w:t>
      </w:r>
    </w:p>
    <w:p>
      <w:r>
        <w:t xml:space="preserve">3. das Lernen des Lernens,</w:t>
      </w:r>
    </w:p>
    <w:p>
      <w:r>
        <w:t xml:space="preserve">4. die Bereitschaft zur Verantwortungsübernahme sowie zur aktiven Beteiligung an Entscheidungen,</w:t>
      </w:r>
    </w:p>
    <w:p>
      <w:r>
        <w:t xml:space="preserve">5. die Entwicklung von Widerstandsfähigkeit,</w:t>
      </w:r>
    </w:p>
    <w:p>
      <w:r>
        <w:t xml:space="preserve">6. die musischen Kräfte sowie</w:t>
      </w:r>
    </w:p>
    <w:p>
      <w:r>
        <w:t xml:space="preserve">7. die Kreativität.</w:t>
      </w:r>
    </w:p>
    <w:p>
      <w:r>
        <w:rPr>
          <w:color w:val="555555"/>
          <w:sz w:val="17"/>
        </w:rPr>
        <w:t xml:space="preserve">Zitiervorschlag: § 2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