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15 AVBayKiBiG (Bayern) — Fachkräftegebot</w:t>
      </w:r>
    </w:p>
    <w:p>
      <w:r>
        <w:rPr>
          <w:color w:val="555555"/>
          <w:sz w:val="18"/>
        </w:rPr>
        <w:t xml:space="preserve">Kinderbildungsverordnung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In jeder Kindertageseinrichtung muss die Bildung, Erziehung und Betreuung der Kinder durch pädagogische Fachkräfte im Sinn des § 16 Abs. 2 sichergestellt sein.</w:t>
      </w:r>
    </w:p>
    <w:p>
      <w:r>
        <w:rPr>
          <w:color w:val="555555"/>
          <w:sz w:val="17"/>
        </w:rPr>
        <w:t xml:space="preserve">Zitiervorschlag: § 15 AVBayKiBiG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https://recht.nulegal.eu/gesetze/AVBayKiBiG/15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