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AVBayJG (Bayern) — (zu § 10)</w:t>
      </w:r>
    </w:p>
    <w:p>
      <w:r>
        <w:rPr>
          <w:color w:val="555555"/>
          <w:sz w:val="18"/>
        </w:rPr>
        <w:t xml:space="preserve">Verordnung zur Ausführung des Bayerischen Jagdgesetzes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2</w:t>
      </w:r>
    </w:p>
    <w:p>
      <w:r>
        <w:t xml:space="preserve">Zur Kennzeichnung von Wildschutzgebieten und geschützten Wildbiotopen dient ein auf der Spitze stehendes grün umrandetes gleichschenkeliges Dreieck mit der Bezeichnung „Wildschutzgebiet“ und dem abgebildeten Tier- und Biotopsymbol in schwarzer Farbe auf weißem Grund.</w:t>
      </w:r>
    </w:p>
    <w:p>
      <w:r>
        <w:t xml:space="preserve">Muster für Zusatzschilder</w:t>
      </w:r>
    </w:p>
    <w:p>
      <w:r>
        <w:t xml:space="preserve">(Art. 21 Abs. 3 Satz 3 BayJG in Verbindung mit Art. 53 Abs. 1 Satz 2 BayNatSchG):</w:t>
      </w:r>
    </w:p>
    <w:p>
      <w:r>
        <w:t xml:space="preserve">Auf Grund Rechtsverordnung vom ……………(ABl ………) ist das Verlassen der öffentlichen Wege in der Zeit vom ………………bis…………… nicht gestattet.</w:t>
      </w:r>
    </w:p>
    <w:p>
      <w:r>
        <w:t xml:space="preserve">Zuwiderhandlungen können mit Geldbuße bis zu 5 000 € geahndet werden. ………………………</w:t>
      </w:r>
    </w:p>
    <w:p>
      <w:r>
        <w:t xml:space="preserve">(Kreisverwaltungsbehörde)</w:t>
      </w:r>
    </w:p>
    <w:p>
      <w:r>
        <w:rPr>
          <w:color w:val="555555"/>
          <w:sz w:val="17"/>
        </w:rPr>
        <w:t xml:space="preserve">Zitiervorschlag: Anlage 2 AVBayJG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https://recht.nulegal.eu/gesetze/AVBayJG/anlage-2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