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AVBayJG (Bayern) — Satzung der Jagdgenossenschaft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Satzung der Jagdgenossenschaft muß folgende Vorschriften der Mustersatzung (Anlage 1) unverändert enthalten:</w:t>
      </w:r>
    </w:p>
    <w:p>
      <w:r>
        <w:t xml:space="preserve">§ 1</w:t>
      </w:r>
    </w:p>
    <w:p>
      <w:r>
        <w:t xml:space="preserve">(Name und Sitz der Jagdgenossenschaft),</w:t>
      </w:r>
    </w:p>
    <w:p>
      <w:r>
        <w:t xml:space="preserve">§ 3</w:t>
      </w:r>
    </w:p>
    <w:p>
      <w:r>
        <w:t xml:space="preserve">(Mitglieder der Jagdgenossenschaft),</w:t>
      </w:r>
    </w:p>
    <w:p>
      <w:r>
        <w:t xml:space="preserve">§ 5</w:t>
      </w:r>
    </w:p>
    <w:p>
      <w:r>
        <w:t xml:space="preserve">(Organe der Jagdgenossenschaft),</w:t>
      </w:r>
    </w:p>
    <w:p>
      <w:r>
        <w:t xml:space="preserve">§ 6</w:t>
      </w:r>
    </w:p>
    <w:p>
      <w:r>
        <w:t xml:space="preserve">(Versammlung der Jagdgenossen),</w:t>
      </w:r>
    </w:p>
    <w:p>
      <w:r>
        <w:t xml:space="preserve">§ 7</w:t>
      </w:r>
    </w:p>
    <w:p>
      <w:r>
        <w:t xml:space="preserve">(Durchführung der Versammlung der Jagdgenossen),</w:t>
      </w:r>
    </w:p>
    <w:p>
      <w:r>
        <w:t xml:space="preserve">§ 8</w:t>
      </w:r>
    </w:p>
    <w:p>
      <w:r>
        <w:t xml:space="preserve">(Beschlußfassung der Versammlung der Jagdgenossen),</w:t>
      </w:r>
    </w:p>
    <w:p>
      <w:r>
        <w:t xml:space="preserve">§ 9</w:t>
      </w:r>
    </w:p>
    <w:p>
      <w:r>
        <w:t xml:space="preserve">(Vorstand der Jagdgenossenschaft),</w:t>
      </w:r>
    </w:p>
    <w:p>
      <w:r>
        <w:t xml:space="preserve">§ 10</w:t>
      </w:r>
    </w:p>
    <w:p>
      <w:r>
        <w:t xml:space="preserve">(Sitzungen des Jagdvorstandes),</w:t>
      </w:r>
    </w:p>
    <w:p>
      <w:r>
        <w:t xml:space="preserve">§ 11</w:t>
      </w:r>
    </w:p>
    <w:p>
      <w:r>
        <w:t xml:space="preserve">(Jagdvorsteher),</w:t>
      </w:r>
    </w:p>
    <w:p>
      <w:r>
        <w:t xml:space="preserve">§ 12</w:t>
      </w:r>
    </w:p>
    <w:p>
      <w:r>
        <w:t xml:space="preserve">(Kassenführer),</w:t>
      </w:r>
    </w:p>
    <w:p>
      <w:r>
        <w:t xml:space="preserve">§ 13</w:t>
      </w:r>
    </w:p>
    <w:p>
      <w:r>
        <w:t xml:space="preserve">(Haushalts-, Kassen- und Rechnungswesen) und</w:t>
      </w:r>
    </w:p>
    <w:p>
      <w:r>
        <w:t xml:space="preserve">§ 14</w:t>
      </w:r>
    </w:p>
    <w:p>
      <w:r>
        <w:t xml:space="preserve">Abs. 1 und 2, Abs. 3 Satz 1 und 2 und Abs. 4 (Kassenverwaltung, Geschäfts- und Wirtschaftsführung).</w:t>
      </w:r>
    </w:p>
    <w:p>
      <w:r>
        <w:t xml:space="preserve">(2) Die Jagdgenossenschaften haben ihre Satzungen an die neue Rechtslage anzupassen und in geänderter Fassung bekanntzumachen.</w:t>
      </w:r>
    </w:p>
    <w:p>
      <w:r>
        <w:t xml:space="preserve">(3) Die Abs. 1 und 2 finden auf Angliederungsgenossenschaften sinngemäß Anwendung.</w:t>
      </w:r>
    </w:p>
    <w:p>
      <w:r>
        <w:rPr>
          <w:color w:val="555555"/>
          <w:sz w:val="17"/>
        </w:rPr>
        <w:t xml:space="preserve">Zitiervorschlag: § 5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