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AVBayJG (Bayern) — Ordnungswidrigkeiten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56 Abs. 1 Nr. 16 BayJG kann mit Geldbuße belegt werden, wer vorsätzlich oder fahrlässig</w:t>
      </w:r>
    </w:p>
    <w:p>
      <w:r>
        <w:t xml:space="preserve">1. entgegen § 11 die Jagd auf Wasserfederwild an und über Gewässern unter Verwendung bleihaltiger Schrote durchführt,</w:t>
      </w:r>
    </w:p>
    <w:p>
      <w:r>
        <w:t xml:space="preserve">2. entgegen</w:t>
      </w:r>
    </w:p>
    <w:p>
      <w:r>
        <w:t xml:space="preserve">a) § 12a Lebendfangfallen verwendet, die die dort genannten Voraussetzungen nicht erfüllen, insbesondere den festgelegten Fallentypen und Mindestgrößen nicht entsprechen oder nicht behördlich zugelassen sind, oder Lebendfangfallen nicht kontrolliert,</w:t>
      </w:r>
    </w:p>
    <w:p>
      <w:r>
        <w:t xml:space="preserve">b) § 12b Totfangfallen verwendet, die nicht dem festgelegten Fallentyp (Fangeisen mit zwei Halbrundbügeln und einer oder zwei Spannfedern – Auslösung auf Zug – ) und den vorgeschriebenen Mindestklemmkräften entsprechen oder nicht behördlich zugelassen sind, oder Totfangfallen nicht kontrolliert,</w:t>
      </w:r>
    </w:p>
    <w:p>
      <w:r>
        <w:t xml:space="preserve">c) § 12c die Verwendung von Schlagfallen nicht vorher der Jagdbehörde anzeigt,</w:t>
      </w:r>
    </w:p>
    <w:p>
      <w:r>
        <w:t xml:space="preserve">d) § 12d Fangeisen ohne das vorgeschriebene Prüfzeichen verwendet,</w:t>
      </w:r>
    </w:p>
    <w:p>
      <w:r>
        <w:t xml:space="preserve">e) § 12e Abs. 1 und 3 Fangeisen ohne das vorgeschriebene Kennzeichen zur Feststellung der Herkunft der Falle verwendet oder Besitzveränderungen nicht unverzüglich der Prüfstelle mitteilt,</w:t>
      </w:r>
    </w:p>
    <w:p>
      <w:r>
        <w:t xml:space="preserve">3. entgegen § 16 Abs. 2 die Streckenliste nicht ordnungsgemäß führt oder fristgemäß vorlegt oder einer vollziehbaren Anordnung zur Vorlage der Streckenliste nicht nachkommt, soweit die Tat nicht nach Art. 56 Abs. 1 Nr. 9 Buchst. b BayJG mit Geldbuße bedroht ist,</w:t>
      </w:r>
    </w:p>
    <w:p>
      <w:r>
        <w:t xml:space="preserve">4. entgegen § 16 Abs. 4 Satz 3 und 4 den Kopfschmuck des in seinem Jagdrevier erlegten oder verendet aufgefundenen Schalenwildes nicht bei der öffentlichen Hegeschau vorlegt,</w:t>
      </w:r>
    </w:p>
    <w:p>
      <w:r>
        <w:t xml:space="preserve">5. entgegen § 17 Abs. 1 Rotwild außerhalb von Rotwildgebieten oder Wildgehegen hegt oder aussetzt,</w:t>
      </w:r>
    </w:p>
    <w:p>
      <w:r>
        <w:t xml:space="preserve">5a. entgegen § 19 Wild außerhalb der Jagdzeit nicht mit der Jagd verschont,</w:t>
      </w:r>
    </w:p>
    <w:p>
      <w:r>
        <w:t xml:space="preserve">6. entgegen § 20 eine der dort genannten Tierarten ohne Genehmigung aussetzt,</w:t>
      </w:r>
    </w:p>
    <w:p>
      <w:r>
        <w:t xml:space="preserve">7. einer vollziehbaren Anordnung nach § 23a Abs. 1 nicht, nicht vollständig oder nicht rechtzeitig nachkommt,</w:t>
      </w:r>
    </w:p>
    <w:p>
      <w:r>
        <w:t xml:space="preserve">8. entgegen § 23a Abs. 3 verbotene Futtermittel an Wild verfüttert.</w:t>
      </w:r>
    </w:p>
    <w:p>
      <w:r>
        <w:rPr>
          <w:color w:val="555555"/>
          <w:sz w:val="17"/>
        </w:rPr>
        <w:t xml:space="preserve">Zitiervorschlag: § 33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