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AVBayJG (Bayern) — Vereinigungen der Jäger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Vereinigung von Jägern ist als mitwirkungsberechtigte Vereinigung im Sinn von § 37 Abs. 2 BJagdG anzuerkennen, wenn sie nachweislich</w:t>
      </w:r>
    </w:p>
    <w:p>
      <w:r>
        <w:t xml:space="preserve">1. mehr als die Hälfte der in Bayern wohnhaften Inhaber eines Jahresjagdscheines zu Mitgliedern hat,</w:t>
      </w:r>
    </w:p>
    <w:p>
      <w:r>
        <w:t xml:space="preserve">2. eine Organisation auf Kreis-, Regierungsbezirks- und Landesebene besitzt und</w:t>
      </w:r>
    </w:p>
    <w:p>
      <w:r>
        <w:t xml:space="preserve">3. für die Mitwirkung nach § 37 Abs. 2 BJagdG in jedem Regierungsbezirk einen Ausschuß gebildet hat, dem drei Inhaber von Inländerjahresjagdscheinen angehören, von denen einer die Befähigung zum Richteramt oder zum höheren Verwaltungsdienst haben muß.</w:t>
      </w:r>
    </w:p>
    <w:p>
      <w:r>
        <w:t xml:space="preserve">Die Anerkennung und ihre Rücknahme oder ihr Widerruf werden durch die oberste Jagdbehörde ausgesprochen.</w:t>
      </w:r>
    </w:p>
    <w:p>
      <w:r>
        <w:t xml:space="preserve">(2) Die Mitwirkung nach § 37 Abs. 2 BJagdG besteht darin, daß der Ausschuß (Abs. 1 Satz 1 Nr. 3)</w:t>
      </w:r>
    </w:p>
    <w:p>
      <w:r>
        <w:t xml:space="preserve">1. Gelegenheit zur Stellungnahme erhält, wenn die Jagdbehörde von Amts wegen einen Jagdschein nach § 17 Abs. 2 Nr. 4 BJagdG versagen oder nach § 18 in Verbindung mit § 17 Abs. 2 Nr. 4 BJagdG entziehen will oder wenn Gegenstände nach den Vorschriften der §§ 22 bis 29 des Gesetzes über Ordnungswidrigkeiten eingezogen werden sollen,</w:t>
      </w:r>
    </w:p>
    <w:p>
      <w:r>
        <w:t xml:space="preserve">2. bei der Jagdbehörde beantragen kann, daß wegen Verstoßes gegen die Grundsätze der Weidgerechtigkeit (§ 1 Abs. 3 BJagdG) ein Jagdschein versagt oder entzogen oder ein Gegenstand eingezogen wird.</w:t>
      </w:r>
    </w:p>
    <w:p>
      <w:r>
        <w:t xml:space="preserve">(3) Die Jagdbehörde leitet dem Ausschuß unter Beachtung der datenschutzrechtlichen Vorschriften die zur Wahrnehmung seiner Mitwirkungsbefugnis notwendigen Informationen zu.</w:t>
      </w:r>
    </w:p>
    <w:p>
      <w:r>
        <w:t xml:space="preserve">(4) Die Kosten für die Bildung und die Tätigkeit der Ausschüsse trägt die nach Abs. 1 anerkannte Vereinigung.</w:t>
      </w:r>
    </w:p>
    <w:p>
      <w:r>
        <w:rPr>
          <w:color w:val="555555"/>
          <w:sz w:val="17"/>
        </w:rPr>
        <w:t xml:space="preserve">Zitiervorschlag: § 32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