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AVBayJG (Bayern) — Berufsjäger, forstlich Ausgebildete</w:t>
      </w:r>
    </w:p>
    <w:p>
      <w:r>
        <w:rPr>
          <w:color w:val="555555"/>
          <w:sz w:val="18"/>
        </w:rPr>
        <w:t xml:space="preserve">Verordnung zur Ausführung des Bayerischen Jagdgesetzes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Berufsjäger ist, wer die vorgeschriebene Abschlußprüfung im Ausbildungsberuf „Revierjäger“ oder die Meisterprüfung für den Beruf „Revierjäger“ bestanden oder den Nachweis einer entsprechenden Prüfung nach früherem Recht im Inland erbracht hat.</w:t>
      </w:r>
    </w:p>
    <w:p>
      <w:r>
        <w:t xml:space="preserve">(2) Als forstlich ausgebildet im Sinn von § 25 Abs. 1 Satz 2 BJagdG gelten Personen mit erfolgreichem Abschluß</w:t>
      </w:r>
    </w:p>
    <w:p>
      <w:r>
        <w:t xml:space="preserve">1. des Studiums der Forstwissenschaft an einer Universität als Diplom-Forstwirt,</w:t>
      </w:r>
    </w:p>
    <w:p>
      <w:r>
        <w:t xml:space="preserve">2. des Studiums im Fachbereich Forstwirtschaft an einer Fachhochschule als Diplom-Ingenieur (FH),</w:t>
      </w:r>
    </w:p>
    <w:p>
      <w:r>
        <w:t xml:space="preserve">3. einer Prüfung für den gehobenen oder mittleren Forstdienst für den staatlichen, kommunalen oder privaten Bereich oder</w:t>
      </w:r>
    </w:p>
    <w:p>
      <w:r>
        <w:t xml:space="preserve">4. der Ausbildung für staatlich geprüfte Forsttechniker an der Bayerischen Technikerschule für Waldwirtschaft in Lohr a. Main.</w:t>
      </w:r>
    </w:p>
    <w:p>
      <w:r>
        <w:t xml:space="preserve">Eine außerhalb des Geltungsbereichs des Bundeswaldgesetzes vom 2. Mai 1975 (BGBl I S. 1037) erworbene forstberufliche Qualifikation begründet keinen Anwendungsfall des § 25 Abs. 2 BJagdG.</w:t>
      </w:r>
    </w:p>
    <w:p>
      <w:r>
        <w:rPr>
          <w:color w:val="555555"/>
          <w:sz w:val="17"/>
        </w:rPr>
        <w:t xml:space="preserve">Zitiervorschlag: § 22 AVBayJG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https://recht.nulegal.eu/gesetze/AVBayJG/22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