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AVBayJG (Bayern) — Brauchbarkeit von Jagdhunden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Jagdhund gilt als brauchbar, wenn er eine Brauchbarkeitsprüfung oder eine ihr gleichgestellte Prüfung bestanden hat.</w:t>
      </w:r>
    </w:p>
    <w:p>
      <w:r>
        <w:t xml:space="preserve">(2) Die Brauchbarkeitsprüfung wird durch die Organe der anerkannten Vereinigungen der Jäger (Art. 51 BayJG, § 32) nach einer von der obersten Jagdbehörde anerkannten Prüfungsordnung durchgeführt, in der auch Bestimmungen über die der Brauchbarkeitsprüfung gleichgestellten Prüfungen getroffen werden können.</w:t>
      </w:r>
    </w:p>
    <w:p>
      <w:r>
        <w:rPr>
          <w:color w:val="555555"/>
          <w:sz w:val="17"/>
        </w:rPr>
        <w:t xml:space="preserve">Zitiervorschlag: § 21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