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20 AVBayJG (Bayern) — Aussetzen von Tierarten</w:t>
      </w:r>
    </w:p>
    <w:p>
      <w:r>
        <w:rPr>
          <w:color w:val="555555"/>
          <w:sz w:val="18"/>
        </w:rPr>
        <w:t xml:space="preserve">Verordnung zur Ausführung des Bayerischen Jagdgesetzes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Folgende Tierarten dürfen in der freien Natur nur mit vorheriger schriftlicher Genehmigung der obersten Jagdbehörde und unter den Voraussetzungen des Art. 34 Abs. 2 Satz 2 BayJG ausgesetzt werden:</w:t>
      </w:r>
    </w:p>
    <w:p>
      <w:r>
        <w:t xml:space="preserve">1. Dam-, Sika-, Gams-, Stein- und Muffelwild,</w:t>
      </w:r>
    </w:p>
    <w:p>
      <w:r>
        <w:t xml:space="preserve">2. Wildkatze und Luchs,</w:t>
      </w:r>
    </w:p>
    <w:p>
      <w:r>
        <w:t xml:space="preserve">3. Fischotter,</w:t>
      </w:r>
    </w:p>
    <w:p>
      <w:r>
        <w:t xml:space="preserve">4. Waschbär, Marderhund, Mink und Sumpfbiber (Nutria),</w:t>
      </w:r>
    </w:p>
    <w:p>
      <w:r>
        <w:t xml:space="preserve">5. Wildtruthühner,</w:t>
      </w:r>
    </w:p>
    <w:p>
      <w:r>
        <w:t xml:space="preserve">6. Wolf und Goldschakal.</w:t>
      </w:r>
    </w:p>
    <w:p>
      <w:r>
        <w:rPr>
          <w:color w:val="555555"/>
          <w:sz w:val="17"/>
        </w:rPr>
        <w:t xml:space="preserve">Zitiervorschlag: § 20 AVBayJG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https://recht.nulegal.eu/gesetze/AVBayJG/20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