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12c AVBayJG (Bayern) — Anzeigepflicht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Schlagfallen verwendet, hat dies vorher der Jagdbehörde anzuzeigen, in deren Bezirk sie eingesetzt werden sollen. Die Anzeige muß folgende Angaben enthalten:</w:t>
      </w:r>
    </w:p>
    <w:p>
      <w:r>
        <w:t xml:space="preserve">1. Anzahl und Art der Fallen,</w:t>
      </w:r>
    </w:p>
    <w:p>
      <w:r>
        <w:t xml:space="preserve">2. Kennzeichen der Fangeisen (Art. 29a Abs. 1 Satz 2 Nr. 2 BayJG, § 12e),</w:t>
      </w:r>
    </w:p>
    <w:p>
      <w:r>
        <w:t xml:space="preserve">3. Einsatzort (Jagdrevier) und Verwendungszeitraum.</w:t>
      </w:r>
    </w:p>
    <w:p>
      <w:r>
        <w:t xml:space="preserve">Bei Änderung der angezeigten Verhältnisse ist entsprechend zu verfahren.</w:t>
      </w:r>
    </w:p>
    <w:p>
      <w:r>
        <w:rPr>
          <w:color w:val="555555"/>
          <w:sz w:val="17"/>
        </w:rPr>
        <w:t xml:space="preserve">Zitiervorschlag: § 12c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https://recht.nulegal.eu/gesetze/AVBayJG/12c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