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12b AVBayJG (Bayern) — Fallen für den Totfang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Fallen für den Totfang (Schlagfallen) dürfen nur Fangeisen mit zwei Halbrundbügeln und einer oder zwei Spannfedern (sog. „Schwanenhälse“ oder „Eiabzugseisen“) verwendet werden, wenn sie</w:t>
      </w:r>
    </w:p>
    <w:p>
      <w:r>
        <w:t xml:space="preserve">1. über einen Köderabzug ausgelöst werden und</w:t>
      </w:r>
    </w:p>
    <w:p>
      <w:r>
        <w:t xml:space="preserve">2. im Verhältnis zur Bügelweite folgende Mindestklemmkräfte in Newton (N) einhalten:</w:t>
      </w:r>
    </w:p>
    <w:p>
      <w:r>
        <w:t xml:space="preserve">Bügelweite 33 cm bis 41 cm:</w:t>
      </w:r>
    </w:p>
    <w:p>
      <w:r>
        <w:t xml:space="preserve">150 N</w:t>
      </w:r>
    </w:p>
    <w:p>
      <w:r>
        <w:t xml:space="preserve">Bügelweite über 41 cm bis 51 cm:</w:t>
      </w:r>
    </w:p>
    <w:p>
      <w:r>
        <w:t xml:space="preserve">175 N</w:t>
      </w:r>
    </w:p>
    <w:p>
      <w:r>
        <w:t xml:space="preserve">Bügelweite über 51 cm bis 66 cm:</w:t>
      </w:r>
    </w:p>
    <w:p>
      <w:r>
        <w:t xml:space="preserve">200 N</w:t>
      </w:r>
    </w:p>
    <w:p>
      <w:r>
        <w:t xml:space="preserve">Bügelweite über 66 cm bis 74 cm :</w:t>
      </w:r>
    </w:p>
    <w:p>
      <w:r>
        <w:t xml:space="preserve">300 N.</w:t>
      </w:r>
    </w:p>
    <w:p>
      <w:r>
        <w:t xml:space="preserve">(2) Die Jagdbehörde kann über Abs. 1 hinaus den Einsatz anderer Schlagfallen im Einzelfall zulassen, wenn sie ein sofortiges Töten gewährleisten und Belange der öffentlichen Sicherheit und des Artenschutzes nicht entgegenstehen.</w:t>
      </w:r>
    </w:p>
    <w:p>
      <w:r>
        <w:t xml:space="preserve">(3) Fängisch gestellte Fallen müssen täglich am Morgen kontrolliert werden.</w:t>
      </w:r>
    </w:p>
    <w:p>
      <w:r>
        <w:rPr>
          <w:color w:val="555555"/>
          <w:sz w:val="17"/>
        </w:rPr>
        <w:t xml:space="preserve">Zitiervorschlag: § 12b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https://recht.nulegal.eu/gesetze/AVBayJG/12b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