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AVBayJG (Bayern) — Kennzeichnung der Schutzgebiete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Kennzeichnung der Wildschutzgebiete ist das amtliche Schild (Anlage 2) zu verwenden und im Benehmen mit den Grundstückseigentümern oder Nutzungsberechtigten aufzustellen.</w:t>
      </w:r>
    </w:p>
    <w:p>
      <w:r>
        <w:t xml:space="preserve">(2) Für durch Rechtsverordnung nach Art. 21 Abs. 4 BayJG geschützte Wildbiotope gilt Abs. 1 sinngemäß.</w:t>
      </w:r>
    </w:p>
    <w:p>
      <w:r>
        <w:rPr>
          <w:color w:val="555555"/>
          <w:sz w:val="17"/>
        </w:rPr>
        <w:t xml:space="preserve">Zitiervorschlag: § 10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