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AVBayHIG (Bayern)</w:t>
      </w:r>
    </w:p>
    <w:p>
      <w:r>
        <w:rPr>
          <w:color w:val="555555"/>
          <w:sz w:val="18"/>
        </w:rPr>
        <w:t xml:space="preserve">Ausführungsverordnung zum Bayerischen Hochschulinnovationsgesetz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13. Februar 2023</w:t>
      </w:r>
    </w:p>
    <w:p>
      <w:r>
        <w:t xml:space="preserve">Bayerisches Staatsministerium für Wissenschaft und Kunst</w:t>
      </w:r>
    </w:p>
    <w:p>
      <w:r>
        <w:t xml:space="preserve">Markus Blume, Staatsminister</w:t>
      </w:r>
    </w:p>
    <w:p>
      <w:r>
        <w:rPr>
          <w:color w:val="555555"/>
          <w:sz w:val="17"/>
        </w:rPr>
        <w:t xml:space="preserve">Zitiervorschlag: Schlussformel AVBayHIG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https://recht.nulegal.eu/gesetze/AVBayHIG/schlussformel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