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AVBayHIG (Bayern) — Ermäßigung der Regellehrverpflichtung bei Schwerbehinderung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Lehrverpflichtung schwerbehinderter Menschen im Sinn des Neunten Buches Sozialgesetzbuch kann ermäßigt werden bei einem Grad der Behinderung von</w:t>
      </w:r>
    </w:p>
    <w:p>
      <w:r>
        <w:t xml:space="preserve">1.</w:t>
      </w:r>
    </w:p>
    <w:p>
      <w:r>
        <w:t xml:space="preserve">mindestens 50</w:t>
      </w:r>
    </w:p>
    <w:p>
      <w:r>
        <w:t xml:space="preserve">bis zu 12 %,</w:t>
      </w:r>
    </w:p>
    <w:p>
      <w:r>
        <w:t xml:space="preserve">2.</w:t>
      </w:r>
    </w:p>
    <w:p>
      <w:r>
        <w:t xml:space="preserve">mindestens 70</w:t>
      </w:r>
    </w:p>
    <w:p>
      <w:r>
        <w:t xml:space="preserve">bis zu 18 %,</w:t>
      </w:r>
    </w:p>
    <w:p>
      <w:r>
        <w:t xml:space="preserve">3.</w:t>
      </w:r>
    </w:p>
    <w:p>
      <w:r>
        <w:t xml:space="preserve">mindestens 90</w:t>
      </w:r>
    </w:p>
    <w:p>
      <w:r>
        <w:t xml:space="preserve">bis zu 25 %.</w:t>
      </w:r>
    </w:p>
    <w:p>
      <w:r>
        <w:t xml:space="preserve">Die Ermäßigung wird bei einem sich ergebenden Bruchteil ab 0,5 auf volle Lehrveranstaltungsstunden aufgerundet, bei einem Bruchteil unter 0,5 auf volle Lehrveranstaltungsstunden abgerundet.</w:t>
      </w:r>
    </w:p>
    <w:p>
      <w:r>
        <w:rPr>
          <w:color w:val="555555"/>
          <w:sz w:val="17"/>
        </w:rPr>
        <w:t xml:space="preserve">Zitiervorschlag: § 6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