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AVBayHIG (Bayern) — Inkrafttreten, Außerkrafttreten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März 2023 in Kraft.</w:t>
      </w:r>
    </w:p>
    <w:p>
      <w:r>
        <w:t xml:space="preserve">(2) § 57 Abs. 2 tritt mit Ablauf des 28. Februar 2026 außer Kraft.</w:t>
      </w:r>
    </w:p>
    <w:p>
      <w:r>
        <w:t xml:space="preserve">(3) § 36 Abs. 4 bis 7 tritt mit Ablauf des 31. Dezember 2039 außer Kraft.</w:t>
      </w:r>
    </w:p>
    <w:p>
      <w:r>
        <w:rPr>
          <w:color w:val="555555"/>
          <w:sz w:val="17"/>
        </w:rPr>
        <w:t xml:space="preserve">Zitiervorschlag: § 58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