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AVBayHIG (Bayern) — Kunsthochschulen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33 Abs. 3 Satz 2 BayHIG ist die Kanzlerin oder der Kanzler auch als Dienstvorgesetzte oder Dienstvorgesetzter nicht an Weisungen der Hochschulleitung und der oder des Dienstvorgesetzten gebunden.</w:t>
      </w:r>
    </w:p>
    <w:p>
      <w:r>
        <w:t xml:space="preserve">(2) Sieht die Grundordnung nach Art. 35 Abs. 1 Satz 5 BayHIG vor, dass die Mitglieder der Hochschulleitung nach Art. 30 Abs. 1 Satz 1 Nr. 1 und 3 BayHIG Mitglieder des Senats sind, so gehören abweichend von Art. 35 Abs. 1 Satz 1 Nr. 1 BayHIG dem Senat zwei weitere Vertreterinnen oder Vertreter der hauptberuflichen Hochschullehrerinnen und Hochschullehrer an.</w:t>
      </w:r>
    </w:p>
    <w:p>
      <w:r>
        <w:t xml:space="preserve">(3) Abweichend von Art. 36 Abs. 1 Satz 1 Nr. 1 BayHIG gehören dem Hochschulrat die gewählten Mitglieder des Senats nach Art. 35 Abs. 1 Satz 1 Nr. 2 bis 4 BayHIG sowie fünf Vertreterinnen oder Vertreter nach Art. 35 Abs. 1 Satz 1 Nr. 1 BayHIG an, deren Bestimmung durch Beschluss des Senats erfolgt. Abweichend von Art. 36 Abs. 1 Satz 1 Nr. 2 BayHIG beträgt die Zahl der nicht hochschulangehörigen Mitglieder neun. Abweichend von Art. 36 Abs. 4 Satz 2 BayHIG wählt der Hochschulrat aus seiner Mitte eine Vertreterin oder einen Vertreter aus den Mitgliedern nach Art. 36 Abs. 1 Satz 1 Nr. 1 BayHIG.</w:t>
      </w:r>
    </w:p>
    <w:p>
      <w:r>
        <w:rPr>
          <w:color w:val="555555"/>
          <w:sz w:val="17"/>
        </w:rPr>
        <w:t xml:space="preserve">Zitiervorschlag: § 53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