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AVBayHIG (Bayern) — Technische Hochschule Ingolstadt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35 Abs. 3 Nr. 4 und Art. 36 Abs. 5 Satz 1 Nr. 6 BayHIG beschließt der Senat über die Änderung von Studiengängen. Der Beschluss über die Errichtung und Aufhebung von Studiengängen bleibt dem Hochschulrat vorbehalten. Art. 77 Abs. 4 BayHIG bleibt unberührt.</w:t>
      </w:r>
    </w:p>
    <w:p>
      <w:r>
        <w:t xml:space="preserve">(2) Abweichend von Art. 22 Abs. 3 Satz 4 und 6 sowie Art. 30 Abs. 1 Satz 1 und 3 BayHIG gehört die oder der für die Hochschule gewählte Beauftragte für die Gleichstellung von Frauen in Wissenschaft und Kunst zusätzlich der Hochschulleitung als stimmberechtigtes Mitglied an.</w:t>
      </w:r>
    </w:p>
    <w:p>
      <w:r>
        <w:rPr>
          <w:color w:val="555555"/>
          <w:sz w:val="17"/>
        </w:rPr>
        <w:t xml:space="preserve">Zitiervorschlag: § 47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