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AVBayHIG (Bayern) — Hochschule für angewandte Wissenschaften Hof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Abweichend von Art. 36 Abs. 1 Satz 1 BayHIG gehören dem Hochschulrat an:</w:t>
      </w:r>
    </w:p>
    <w:p>
      <w:r>
        <w:t xml:space="preserve">1. sieben gewählte Mitglieder des Senats, davon</w:t>
      </w:r>
    </w:p>
    <w:p>
      <w:r>
        <w:t xml:space="preserve">a) vier Vertreterinnen oder Vertreter der Hochschullehrerinnen und Hochschullehrer, die durch Beschluss des Senats bestimmt werden,</w:t>
      </w:r>
    </w:p>
    <w:p>
      <w:r>
        <w:t xml:space="preserve">b) eine Vertreterin oder ein Vertreter der wissenschaftsstützenden Mitarbeiterinnen und Mitarbeiter,</w:t>
      </w:r>
    </w:p>
    <w:p>
      <w:r>
        <w:t xml:space="preserve">c) die Vertreterinnen oder Vertreter der Studierenden;</w:t>
      </w:r>
    </w:p>
    <w:p>
      <w:r>
        <w:t xml:space="preserve">2. sieben nicht hochschulangehörige Mitglieder.</w:t>
      </w:r>
    </w:p>
    <w:p>
      <w:r>
        <w:t xml:space="preserve">(2) Die oder der Vorsitzende des Senats gehört dem Hochschulrat kraft Amtes an. Im Übrigen werden die Mitglieder nach Abs. 1 Nr. 1 Buchst. a durch den Senat bestimmt. Nähere Regelungen trifft die Grundordnung.</w:t>
      </w:r>
    </w:p>
    <w:p>
      <w:r>
        <w:t xml:space="preserve">(3) Abweichend von Art. 35 Abs. 3 Nr. 4 und Art. 36 Abs. 5 Satz 1 Nr. 6 BayHIG beschließt der Senat über die Einrichtung, Änderung und Aufhebung von Studiengängen. Die Einrichtung oder Aufhebung eines Studiengangs bedarf des Einvernehmens mit dem Hochschulrat.</w:t>
      </w:r>
    </w:p>
    <w:p>
      <w:r>
        <w:rPr>
          <w:color w:val="555555"/>
          <w:sz w:val="17"/>
        </w:rPr>
        <w:t xml:space="preserve">Zitiervorschlag: § 46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