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AVBayHIG (Bayern) — Hochschule für angewandte Wissenschaften Coburg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Art. 22 Abs. 3 Satz 4 und 6 BayHIG sowie Art. 30 Abs. 1 Satz 1 und 3 BayHIG gehört die oder der für die Hochschule gewählte Beauftragte für die Gleichstellung von Frauen in Wissenschaft und Kunst zusätzlich der Hochschulleitung als stimmberechtigtes Mitglied an.</w:t>
      </w:r>
    </w:p>
    <w:p>
      <w:r>
        <w:t xml:space="preserve">(2) Abweichend von Art. 35 Abs. 3 Nr. 4 und Art. 36 Abs. 5 Satz 1 Nr. 6 BayHIG beschließt der Hochschulrat über die wesentliche Änderung, die Errichtung und Aufhebung von Studiengängen. Sonstige Änderungen von Studiengängen beschließt allein der Senat. Art. 77 Abs. 4 BayHIG bleibt unberührt.</w:t>
      </w:r>
    </w:p>
    <w:p>
      <w:r>
        <w:t xml:space="preserve">(3) Abweichend von Art. 36 Abs. 2 Satz 2 BayHIG ist in begründeten Ausnahmefällen eine erneute Bestellung der nicht hochschulangehörigen Mitglieder im Hochschulrat bis zu einer Amtszeit von insgesamt zwölf Jahren zulässig.</w:t>
      </w:r>
    </w:p>
    <w:p>
      <w:r>
        <w:t xml:space="preserve">(4) Abweichend von Art. 36 Abs. 3 Satz 1 Halbsatz 2 BayHIG wird den nicht hochschulangehörigen Mitgliedern des Hochschulrats keine Gelegenheit zur Stellungnahme gegeben.</w:t>
      </w:r>
    </w:p>
    <w:p>
      <w:r>
        <w:t xml:space="preserve">(5) Abweichend von Art. 66 Abs. 5 Satz 8 BayHIG ist der Senat nicht verpflichtet, zu Berufungsvorschlägen Stellung zu nehmen.</w:t>
      </w:r>
    </w:p>
    <w:p>
      <w:r>
        <w:rPr>
          <w:color w:val="555555"/>
          <w:sz w:val="17"/>
        </w:rPr>
        <w:t xml:space="preserve">Zitiervorschlag: § 44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