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AVBayHIG (Bayern) — Technische Hochschule Augsburg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35 Abs. 3 Nr. 4 und Art. 36 Abs. 5 Satz 1 Nr. 6 BayHIG beschließt der Senat über die Änderung von Studiengängen. Der Beschluss über die Einrichtung und Aufhebung von Studiengängen bleibt dem Hochschulrat vorbehalten. Art. 77 Abs. 4 BayHIG bleibt unberührt.</w:t>
      </w:r>
    </w:p>
    <w:p>
      <w:r>
        <w:t xml:space="preserve">(2) Abweichend von Art. 36 Abs. 2 Satz 2 BayHIG regelt die Grundordnung eine weitere Bestellung der Mitglieder des Hochschulrats nach Art. 36 Abs. 1 Satz 1 Nr. 2 BayHIG über insgesamt acht Jahre hinaus.</w:t>
      </w:r>
    </w:p>
    <w:p>
      <w:r>
        <w:rPr>
          <w:color w:val="555555"/>
          <w:sz w:val="17"/>
        </w:rPr>
        <w:t xml:space="preserve">Zitiervorschlag: § 43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