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AVBayHIG (Bayern) — Julius-Maximilians-Universität Würzburg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30 Abs. 1 Satz 1 Nr. 2 BayHIG gehören der Hochschulleitung nach Maßgabe der Grundordnung bis zu fünf weitere gewählte Mitglieder an.</w:t>
      </w:r>
    </w:p>
    <w:p>
      <w:r>
        <w:t xml:space="preserve">(2) Abweichend von Art. 35 Abs. 3 Nr. 4 und Art. 36 Abs. 5 Satz 1 Nr. 6 BayHIG beschließt der Senat nach Stellungnahme des Hochschulrats über die Einrichtung, Änderung und Aufhebung von Studiengängen. Art. 77 Abs. 4 BayHIG bleibt unberührt.</w:t>
      </w:r>
    </w:p>
    <w:p>
      <w:r>
        <w:rPr>
          <w:color w:val="555555"/>
          <w:sz w:val="17"/>
        </w:rPr>
        <w:t xml:space="preserve">Zitiervorschlag: § 41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