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AVBayHIG (Bayern) — Otto-Friedrich-Universität Bamberg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29 Abs. 5 Satz 3 Halbsatz 2 BayHIG können auch hauptberufliche Hochschullehrerinnen und Hochschullehrer Mitglied der kollegialen Leitung einer wissenschaftlichen oder künstlerischen Einrichtung sein, sofern sich die Leitung mehrheitlich aus hauptberuflich tätigen Professorinnen und Professoren zusammensetzt.</w:t>
      </w:r>
    </w:p>
    <w:p>
      <w:r>
        <w:t xml:space="preserve">(2) Abweichend von Art. 29 Abs. 4 Satz 4 BayHIG sieht die Grundordnung Forschungsdekaninnen und Forschungsdekane sowie eigens für Wissens- und Technologietransfer zuständige Dekaninnen und Dekane (Transferdekaninnen und Transferdekane) vor und regelt dabei insbesondere deren Wahl und Zuständigkeit.</w:t>
      </w:r>
    </w:p>
    <w:p>
      <w:r>
        <w:t xml:space="preserve">(3) Abweichend von Art. 29 Abs. 4 Satz 1 BayHIG sind auch die Forschungsdekanin oder der Forschungsdekan und die Transferdekanin oder der Transferdekan Organe der jeweiligen Fakultät.</w:t>
      </w:r>
    </w:p>
    <w:p>
      <w:r>
        <w:t xml:space="preserve">(4) Abweichend von Art. 40 Abs. 1 Satz 4 BayHIG in Verbindung mit Art. 40 Abs. 1 Satz 1 BayHIG kann eine weitere Studiendekanin oder ein weiterer Studiendekan auch aus dem Kreis der hauptberuflichen Hochschullehrerinnen und Hochschullehrer (Art. 19 Abs. 2 Satz 1 Nr. 1 BayHIG) sowie der sonstigen hauptberuflichen wissenschaftlichen und künstlerischen Mitarbeiterinnen, Mitarbeiter und Promovierenden (Art. 19 Abs. 2 Satz 1 Nr. 2 BayHIG) gewählt werden.</w:t>
      </w:r>
    </w:p>
    <w:p>
      <w:r>
        <w:t xml:space="preserve">(5) Abweichend von Art. 41 Abs. 1 Satz 1 BayHIG sind auch die Forschungsdekanin oder der Forschungsdekan und die Transferdekanin oder der Transferdekan Mitglieder des Fakultätsrats der jeweiligen Fakultät.</w:t>
      </w:r>
    </w:p>
    <w:p>
      <w:r>
        <w:t xml:space="preserve">(6) Abweichend von Art. 39 BayHIG bestehen keine Prodekaninnen oder Prodekane. Art. 41 Abs. 1 Satz 1 Nr. 2 BayHIG findet keine Anwendung. Die Vertretung der Dekanin oder des Dekans wird abweichend von Art. 39 Abs. 2 Satz 1 BayHIG in der Grundordnung geregelt.</w:t>
      </w:r>
    </w:p>
    <w:p>
      <w:r>
        <w:t xml:space="preserve">(7) Abweichend von Art. 36 Abs. 5 Satz 1 Nr. 6 BayHIG liegt die Zuständigkeit für den Beschluss über die Änderung von Studiengängen beim Senat. Dem Hochschulrat ist weiterhin die Beschlusszuständigkeit für wesentliche Änderungen sowie Einrichtung und Aufhebung von Studiengängen vorbehalten.</w:t>
      </w:r>
    </w:p>
    <w:p>
      <w:r>
        <w:t xml:space="preserve">(8) Scheidet die Dekanin oder der Dekan vorzeitig aus dem Amt, wird für die verbleibende Amtszeit abweichend von Art. 38 Abs. 1 Satz 3 Halbsatz 1 BayHIG eine neue Dekanin oder ein neuer Dekan gewählt.</w:t>
      </w:r>
    </w:p>
    <w:p>
      <w:r>
        <w:rPr>
          <w:color w:val="555555"/>
          <w:sz w:val="17"/>
        </w:rPr>
        <w:t xml:space="preserve">Zitiervorschlag: § 34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