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AVBayHIG (Bayern) — Finanzierung der Baumaßnahmen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Finanzierung kann</w:t>
      </w:r>
    </w:p>
    <w:p>
      <w:r>
        <w:t xml:space="preserve">1. durch Zahlung aus dem Staatshaushalt,</w:t>
      </w:r>
    </w:p>
    <w:p>
      <w:r>
        <w:t xml:space="preserve">2. durch Eigenmittel der Hochschule, und</w:t>
      </w:r>
    </w:p>
    <w:p>
      <w:r>
        <w:t xml:space="preserve">3. durch Drittmittel</w:t>
      </w:r>
    </w:p>
    <w:p>
      <w:r>
        <w:t xml:space="preserve">unter Berücksichtigung der Grundsätze der Wirtschaftlichkeit und Sparsamkeit erfolgen. Über das Haushalts- oder Wirtschaftsjahr hinausgehende Verpflichtungen dürfen nur insoweit eingegangen werden, als hierfür im vom Haushaltsgesetzgeber beschlossenen Staatshaushalt jeweils entsprechende Verpflichtungsermächtigungen oder haushaltsgesetzliche Ermächtigungen ausdrücklich vorgesehen sind.</w:t>
      </w:r>
    </w:p>
    <w:p>
      <w:r>
        <w:t xml:space="preserve">(2) Anfallende Kosten für die nach öffentlich-rechtlichen oder sonstigen Vorschriften erforderlichen Genehmigungen, Zustimmungen oder Erlaubnisse sind von der Hochschule zu tragen.</w:t>
      </w:r>
    </w:p>
    <w:p>
      <w:r>
        <w:rPr>
          <w:color w:val="555555"/>
          <w:sz w:val="17"/>
        </w:rPr>
        <w:t xml:space="preserve">Zitiervorschlag: § 28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