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AVBayHIG (Bayern) — Liegenschaftsverantwortung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einer Hochschule die Liegenschaftsverantwortung übertragen, so gehen ab diesem Zeitpunkt alle Pflichten zum Erhalt der Liegenschaft auf die jeweilige Hochschule über.</w:t>
      </w:r>
    </w:p>
    <w:p>
      <w:r>
        <w:t xml:space="preserve">(2) Fällt der Bedarf der Hochschule an einer Liegenschaft, für die ihr die Liegenschaftsverantwortung übertragen wurde, weg, hat sie dies frühzeitig dem Staatsministerium schriftlich oder in elektronischer Form mitzuteilen.</w:t>
      </w:r>
    </w:p>
    <w:p>
      <w:r>
        <w:rPr>
          <w:color w:val="555555"/>
          <w:sz w:val="17"/>
        </w:rPr>
        <w:t xml:space="preserve">Zitiervorschlag: § 27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